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574" w:rsidRPr="00276574" w:rsidRDefault="00276574" w:rsidP="00AC44E5">
      <w:pPr>
        <w:jc w:val="center"/>
        <w:rPr>
          <w:rFonts w:ascii="Baskerville" w:hAnsi="Baskerville" w:cs="Arial"/>
          <w:b/>
          <w:sz w:val="28"/>
          <w:szCs w:val="28"/>
        </w:rPr>
      </w:pPr>
      <w:r w:rsidRPr="00276574">
        <w:rPr>
          <w:rFonts w:ascii="Baskerville" w:hAnsi="Baskerville" w:cs="Arial"/>
          <w:b/>
          <w:sz w:val="28"/>
          <w:szCs w:val="28"/>
        </w:rPr>
        <w:t>Critical Reflection Rubric</w:t>
      </w:r>
    </w:p>
    <w:tbl>
      <w:tblPr>
        <w:tblStyle w:val="TableGrid"/>
        <w:tblpPr w:leftFromText="180" w:rightFromText="180" w:vertAnchor="text" w:horzAnchor="margin" w:tblpY="793"/>
        <w:tblW w:w="0" w:type="auto"/>
        <w:tblLook w:val="04A0" w:firstRow="1" w:lastRow="0" w:firstColumn="1" w:lastColumn="0" w:noHBand="0" w:noVBand="1"/>
      </w:tblPr>
      <w:tblGrid>
        <w:gridCol w:w="2140"/>
        <w:gridCol w:w="2137"/>
        <w:gridCol w:w="2135"/>
        <w:gridCol w:w="2146"/>
        <w:gridCol w:w="2158"/>
        <w:gridCol w:w="2154"/>
      </w:tblGrid>
      <w:tr w:rsidR="006310D5" w:rsidTr="00E00B97">
        <w:tc>
          <w:tcPr>
            <w:tcW w:w="2155" w:type="dxa"/>
            <w:tcBorders>
              <w:top w:val="thinThickThinSmallGap" w:sz="12" w:space="0" w:color="000000"/>
              <w:left w:val="thinThickThinSmallGap" w:sz="12" w:space="0" w:color="000000"/>
            </w:tcBorders>
          </w:tcPr>
          <w:p w:rsidR="00276574" w:rsidRPr="0027657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b/>
                <w:sz w:val="20"/>
                <w:szCs w:val="20"/>
              </w:rPr>
              <w:t xml:space="preserve">Overall Curricular Goals </w:t>
            </w:r>
          </w:p>
        </w:tc>
        <w:tc>
          <w:tcPr>
            <w:tcW w:w="2155" w:type="dxa"/>
            <w:tcBorders>
              <w:top w:val="thinThickThinSmallGap" w:sz="12" w:space="0" w:color="000000"/>
            </w:tcBorders>
          </w:tcPr>
          <w:p w:rsidR="00276574" w:rsidRPr="0027657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b/>
                <w:sz w:val="20"/>
                <w:szCs w:val="20"/>
              </w:rPr>
              <w:t>Guiding Question</w:t>
            </w:r>
          </w:p>
        </w:tc>
        <w:tc>
          <w:tcPr>
            <w:tcW w:w="2155" w:type="dxa"/>
            <w:tcBorders>
              <w:top w:val="thinThickThinSmallGap" w:sz="12" w:space="0" w:color="000000"/>
            </w:tcBorders>
          </w:tcPr>
          <w:p w:rsidR="00276574" w:rsidRPr="00276574" w:rsidRDefault="00B9126C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B9126C">
              <w:rPr>
                <w:rFonts w:ascii="Baskerville" w:hAnsi="Baskerville" w:cs="Calibri"/>
                <w:b/>
                <w:sz w:val="20"/>
                <w:szCs w:val="20"/>
                <w:lang w:val="en-US"/>
              </w:rPr>
              <w:t>Acquiring</w:t>
            </w:r>
          </w:p>
        </w:tc>
        <w:tc>
          <w:tcPr>
            <w:tcW w:w="2156" w:type="dxa"/>
            <w:tcBorders>
              <w:top w:val="thinThickThinSmallGap" w:sz="12" w:space="0" w:color="000000"/>
            </w:tcBorders>
          </w:tcPr>
          <w:p w:rsidR="00276574" w:rsidRPr="00276574" w:rsidRDefault="00B9126C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B9126C">
              <w:rPr>
                <w:rFonts w:ascii="Baskerville" w:hAnsi="Baskerville" w:cs="Calibri"/>
                <w:b/>
                <w:sz w:val="20"/>
                <w:szCs w:val="20"/>
              </w:rPr>
              <w:t>Developing</w:t>
            </w:r>
          </w:p>
        </w:tc>
        <w:tc>
          <w:tcPr>
            <w:tcW w:w="2169" w:type="dxa"/>
            <w:tcBorders>
              <w:top w:val="thinThickThinSmallGap" w:sz="12" w:space="0" w:color="000000"/>
            </w:tcBorders>
          </w:tcPr>
          <w:p w:rsidR="00276574" w:rsidRPr="00276574" w:rsidRDefault="00B9126C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B9126C">
              <w:rPr>
                <w:rFonts w:ascii="Baskerville" w:hAnsi="Baskerville" w:cs="Calibri"/>
                <w:b/>
                <w:sz w:val="20"/>
                <w:szCs w:val="20"/>
              </w:rPr>
              <w:t>Refining</w:t>
            </w:r>
          </w:p>
        </w:tc>
        <w:tc>
          <w:tcPr>
            <w:tcW w:w="2160" w:type="dxa"/>
            <w:tcBorders>
              <w:top w:val="thinThickThinSmallGap" w:sz="12" w:space="0" w:color="000000"/>
              <w:right w:val="thinThickThinSmallGap" w:sz="12" w:space="0" w:color="000000"/>
            </w:tcBorders>
          </w:tcPr>
          <w:p w:rsidR="00276574" w:rsidRPr="00276574" w:rsidRDefault="00B9126C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7467FC">
              <w:rPr>
                <w:rFonts w:ascii="Baskerville" w:hAnsi="Baskerville" w:cs="Calibri"/>
                <w:b/>
                <w:sz w:val="20"/>
                <w:szCs w:val="20"/>
              </w:rPr>
              <w:t>Exceeding/Mastery</w:t>
            </w:r>
          </w:p>
        </w:tc>
      </w:tr>
      <w:tr w:rsidR="006310D5" w:rsidTr="00E00B97">
        <w:tc>
          <w:tcPr>
            <w:tcW w:w="2155" w:type="dxa"/>
            <w:tcBorders>
              <w:left w:val="thinThickThinSmallGap" w:sz="12" w:space="0" w:color="000000"/>
            </w:tcBorders>
          </w:tcPr>
          <w:p w:rsidR="00276574" w:rsidRPr="002A5944" w:rsidRDefault="00276574" w:rsidP="002A594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  <w:u w:val="single"/>
              </w:rPr>
            </w:pPr>
            <w:r w:rsidRPr="002A5944">
              <w:rPr>
                <w:rFonts w:ascii="Baskerville" w:hAnsi="Baskerville" w:cs="Calibri"/>
                <w:b/>
                <w:sz w:val="20"/>
                <w:szCs w:val="20"/>
                <w:u w:val="single"/>
              </w:rPr>
              <w:t xml:space="preserve">Knowledge of Self in Relation to the Community (Positionality, </w:t>
            </w:r>
            <w:r w:rsidRPr="002A5944">
              <w:rPr>
                <w:rFonts w:ascii="Baskerville" w:hAnsi="Baskerville" w:cs="Calibri"/>
                <w:b/>
                <w:color w:val="000000" w:themeColor="text1"/>
                <w:sz w:val="20"/>
                <w:szCs w:val="20"/>
                <w:u w:val="single"/>
              </w:rPr>
              <w:t>reflexivity and awareness of power dynamics</w:t>
            </w:r>
            <w:r w:rsidRPr="002A5944">
              <w:rPr>
                <w:rFonts w:ascii="Baskerville" w:hAnsi="Baskerville" w:cs="Calibri"/>
                <w:b/>
                <w:sz w:val="20"/>
                <w:szCs w:val="20"/>
                <w:u w:val="single"/>
              </w:rPr>
              <w:t>)</w:t>
            </w:r>
          </w:p>
          <w:p w:rsidR="00276574" w:rsidRPr="0027657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</w:p>
          <w:p w:rsidR="00276574" w:rsidRPr="000D2507" w:rsidRDefault="00276574" w:rsidP="00276574">
            <w:pPr>
              <w:pStyle w:val="PlainText"/>
              <w:rPr>
                <w:rFonts w:ascii="Baskerville" w:hAnsi="Baskerville" w:cs="Calibri"/>
                <w:bCs/>
                <w:i/>
                <w:iCs/>
                <w:sz w:val="20"/>
                <w:szCs w:val="20"/>
              </w:rPr>
            </w:pPr>
            <w:r w:rsidRPr="000D2507">
              <w:rPr>
                <w:rFonts w:ascii="Baskerville" w:hAnsi="Baskerville" w:cs="Calibri"/>
                <w:bCs/>
                <w:i/>
                <w:iCs/>
                <w:sz w:val="20"/>
                <w:szCs w:val="20"/>
              </w:rPr>
              <w:t>Specific Learning Objective(s):</w:t>
            </w:r>
          </w:p>
          <w:p w:rsidR="002A5944" w:rsidRDefault="002A5944" w:rsidP="00276574">
            <w:pPr>
              <w:rPr>
                <w:rFonts w:ascii="Baskerville" w:hAnsi="Baskerville" w:cstheme="minorHAnsi"/>
                <w:sz w:val="20"/>
              </w:rPr>
            </w:pPr>
          </w:p>
          <w:p w:rsidR="00276574" w:rsidRPr="000D2507" w:rsidRDefault="00276574" w:rsidP="00276574">
            <w:pPr>
              <w:rPr>
                <w:rFonts w:ascii="Baskerville" w:hAnsi="Baskerville"/>
                <w:b/>
                <w:bCs/>
                <w:sz w:val="20"/>
              </w:rPr>
            </w:pPr>
            <w:r w:rsidRPr="000D2507">
              <w:rPr>
                <w:rFonts w:ascii="Baskerville" w:hAnsi="Baskerville" w:cstheme="minorHAnsi"/>
                <w:b/>
                <w:bCs/>
                <w:sz w:val="20"/>
              </w:rPr>
              <w:t>Understanding social structures and structural inequities and their impacts on the community</w:t>
            </w:r>
          </w:p>
        </w:tc>
        <w:tc>
          <w:tcPr>
            <w:tcW w:w="2155" w:type="dxa"/>
          </w:tcPr>
          <w:p w:rsidR="00276574" w:rsidRPr="00276574" w:rsidRDefault="00276574" w:rsidP="00276574">
            <w:pPr>
              <w:rPr>
                <w:rFonts w:ascii="Baskerville" w:hAnsi="Baskerville"/>
                <w:sz w:val="20"/>
              </w:rPr>
            </w:pPr>
            <w:r w:rsidRPr="00276574">
              <w:rPr>
                <w:rFonts w:ascii="Baskerville" w:hAnsi="Baskerville" w:cs="Calibri"/>
                <w:sz w:val="20"/>
              </w:rPr>
              <w:t>How do</w:t>
            </w:r>
            <w:r w:rsidR="00052F62">
              <w:rPr>
                <w:rFonts w:ascii="Baskerville" w:hAnsi="Baskerville" w:cs="Calibri"/>
                <w:sz w:val="20"/>
              </w:rPr>
              <w:t>es</w:t>
            </w:r>
            <w:r w:rsidRPr="00276574">
              <w:rPr>
                <w:rFonts w:ascii="Baskerville" w:hAnsi="Baskerville" w:cs="Calibri"/>
                <w:sz w:val="20"/>
              </w:rPr>
              <w:t xml:space="preserve"> the student utilize self-awareness, introspection and reflexivity in relation to the </w:t>
            </w:r>
            <w:r w:rsidR="004F4673" w:rsidRPr="00276574">
              <w:rPr>
                <w:rFonts w:ascii="Baskerville" w:hAnsi="Baskerville" w:cs="Calibri"/>
                <w:sz w:val="20"/>
              </w:rPr>
              <w:t>community</w:t>
            </w:r>
            <w:r w:rsidR="004F4673">
              <w:rPr>
                <w:rFonts w:ascii="Baskerville" w:hAnsi="Baskerville" w:cs="Calibri"/>
                <w:sz w:val="20"/>
              </w:rPr>
              <w:t>?</w:t>
            </w:r>
          </w:p>
        </w:tc>
        <w:tc>
          <w:tcPr>
            <w:tcW w:w="2155" w:type="dxa"/>
          </w:tcPr>
          <w:p w:rsidR="00276574" w:rsidRDefault="00276574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sz w:val="20"/>
                <w:szCs w:val="20"/>
              </w:rPr>
              <w:t>I</w:t>
            </w:r>
            <w:r w:rsidR="00C638B2">
              <w:rPr>
                <w:rFonts w:ascii="Baskerville" w:hAnsi="Baskerville" w:cs="Calibri"/>
                <w:sz w:val="20"/>
                <w:szCs w:val="20"/>
              </w:rPr>
              <w:t>dentifies “Self” as an Outsider</w:t>
            </w:r>
          </w:p>
          <w:p w:rsidR="00C638B2" w:rsidRPr="00276574" w:rsidRDefault="00C638B2" w:rsidP="00C638B2">
            <w:pPr>
              <w:pStyle w:val="PlainText"/>
              <w:ind w:left="158"/>
              <w:rPr>
                <w:rFonts w:ascii="Baskerville" w:hAnsi="Baskerville" w:cs="Calibri"/>
                <w:sz w:val="20"/>
                <w:szCs w:val="20"/>
              </w:rPr>
            </w:pPr>
          </w:p>
          <w:p w:rsidR="00276574" w:rsidRDefault="00276574" w:rsidP="00C638B2">
            <w:pPr>
              <w:pStyle w:val="PlainText"/>
              <w:rPr>
                <w:rFonts w:ascii="Baskerville" w:hAnsi="Baskerville" w:cs="Calibri"/>
                <w:color w:val="000000" w:themeColor="text1"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sz w:val="20"/>
                <w:szCs w:val="20"/>
              </w:rPr>
              <w:t>Shows</w:t>
            </w:r>
            <w:r w:rsidRPr="00276574">
              <w:rPr>
                <w:rFonts w:ascii="Baskerville" w:hAnsi="Baskerville" w:cs="Calibri"/>
                <w:color w:val="000000" w:themeColor="text1"/>
                <w:sz w:val="20"/>
                <w:szCs w:val="20"/>
              </w:rPr>
              <w:t xml:space="preserve"> a deficit-based perspective of the community </w:t>
            </w:r>
          </w:p>
          <w:p w:rsidR="00C638B2" w:rsidRPr="00276574" w:rsidRDefault="00C638B2" w:rsidP="00C638B2">
            <w:pPr>
              <w:pStyle w:val="PlainText"/>
              <w:rPr>
                <w:rFonts w:ascii="Baskerville" w:hAnsi="Baskerville" w:cs="Calibri"/>
                <w:color w:val="000000" w:themeColor="text1"/>
                <w:sz w:val="20"/>
                <w:szCs w:val="20"/>
              </w:rPr>
            </w:pPr>
          </w:p>
          <w:p w:rsidR="00276574" w:rsidRPr="00276574" w:rsidRDefault="00276574" w:rsidP="00C638B2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color w:val="000000" w:themeColor="text1"/>
                <w:sz w:val="20"/>
                <w:szCs w:val="20"/>
              </w:rPr>
              <w:t>Recognizes only student’s own strengths</w:t>
            </w:r>
          </w:p>
        </w:tc>
        <w:tc>
          <w:tcPr>
            <w:tcW w:w="2156" w:type="dxa"/>
          </w:tcPr>
          <w:p w:rsidR="00276574" w:rsidRDefault="00276574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>P</w:t>
            </w:r>
            <w:r w:rsidR="009F3913">
              <w:rPr>
                <w:rFonts w:ascii="Baskerville" w:hAnsi="Baskerville" w:cs="Calibri"/>
                <w:sz w:val="20"/>
                <w:szCs w:val="20"/>
              </w:rPr>
              <w:t xml:space="preserve">resents </w:t>
            </w:r>
            <w:r w:rsidRPr="00276574">
              <w:rPr>
                <w:rFonts w:ascii="Baskerville" w:hAnsi="Baskerville" w:cs="Calibri"/>
                <w:sz w:val="20"/>
                <w:szCs w:val="20"/>
              </w:rPr>
              <w:t>little evidence of asset-base</w:t>
            </w:r>
            <w:r w:rsidR="00C638B2">
              <w:rPr>
                <w:rFonts w:ascii="Baskerville" w:hAnsi="Baskerville" w:cs="Calibri"/>
                <w:sz w:val="20"/>
                <w:szCs w:val="20"/>
              </w:rPr>
              <w:t xml:space="preserve">d perspective of the community </w:t>
            </w:r>
          </w:p>
          <w:p w:rsidR="00C638B2" w:rsidRPr="00276574" w:rsidRDefault="00C638B2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</w:p>
          <w:p w:rsidR="00276574" w:rsidRDefault="009F3913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>Identifies “Self” as an (in/out)</w:t>
            </w:r>
            <w:r w:rsidR="00276574" w:rsidRPr="00276574">
              <w:rPr>
                <w:rFonts w:ascii="Baskerville" w:hAnsi="Baskerville" w:cs="Calibri"/>
                <w:sz w:val="20"/>
                <w:szCs w:val="20"/>
              </w:rPr>
              <w:t xml:space="preserve">sider 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</w:p>
          <w:p w:rsidR="00276574" w:rsidRPr="00276574" w:rsidRDefault="00276574" w:rsidP="00C638B2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 xml:space="preserve">Identifies &amp; </w:t>
            </w:r>
            <w:r w:rsidRPr="00276574">
              <w:rPr>
                <w:rFonts w:ascii="Baskerville" w:hAnsi="Baskerville" w:cs="Calibri"/>
                <w:sz w:val="20"/>
                <w:szCs w:val="20"/>
              </w:rPr>
              <w:t>discuss</w:t>
            </w:r>
            <w:r>
              <w:rPr>
                <w:rFonts w:ascii="Baskerville" w:hAnsi="Baskerville" w:cs="Calibri"/>
                <w:sz w:val="20"/>
                <w:szCs w:val="20"/>
              </w:rPr>
              <w:t>es</w:t>
            </w:r>
            <w:r w:rsidRPr="00276574">
              <w:rPr>
                <w:rFonts w:ascii="Baskerville" w:hAnsi="Baskerville" w:cs="Calibri"/>
                <w:sz w:val="20"/>
                <w:szCs w:val="20"/>
              </w:rPr>
              <w:t xml:space="preserve"> their own and community’s strengths in relation to the community’s social structure</w:t>
            </w:r>
            <w:r w:rsidR="00D240D2">
              <w:rPr>
                <w:rFonts w:ascii="Baskerville" w:hAnsi="Baskerville" w:cs="Calibri"/>
                <w:sz w:val="20"/>
                <w:szCs w:val="20"/>
              </w:rPr>
              <w:t>.</w:t>
            </w:r>
          </w:p>
        </w:tc>
        <w:tc>
          <w:tcPr>
            <w:tcW w:w="2169" w:type="dxa"/>
          </w:tcPr>
          <w:p w:rsidR="00276574" w:rsidRDefault="00276574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>S</w:t>
            </w:r>
            <w:r w:rsidRPr="00276574">
              <w:rPr>
                <w:rFonts w:ascii="Baskerville" w:hAnsi="Baskerville" w:cs="Calibri"/>
                <w:sz w:val="20"/>
                <w:szCs w:val="20"/>
              </w:rPr>
              <w:t>hows good evidence of an asset</w:t>
            </w:r>
            <w:r w:rsidR="009F3913">
              <w:rPr>
                <w:rFonts w:ascii="Baskerville" w:hAnsi="Baskerville" w:cs="Calibri"/>
                <w:sz w:val="20"/>
                <w:szCs w:val="20"/>
              </w:rPr>
              <w:t>-based perspective of community</w:t>
            </w:r>
          </w:p>
          <w:p w:rsidR="00C638B2" w:rsidRPr="00276574" w:rsidRDefault="00C638B2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</w:p>
          <w:p w:rsidR="00276574" w:rsidRPr="00276574" w:rsidRDefault="00276574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>Id</w:t>
            </w:r>
            <w:r w:rsidRPr="00276574">
              <w:rPr>
                <w:rFonts w:ascii="Baskerville" w:hAnsi="Baskerville" w:cs="Calibri"/>
                <w:sz w:val="20"/>
                <w:szCs w:val="20"/>
              </w:rPr>
              <w:t>entifies “Self” as an (in/</w:t>
            </w:r>
            <w:proofErr w:type="gramStart"/>
            <w:r w:rsidRPr="00276574">
              <w:rPr>
                <w:rFonts w:ascii="Baskerville" w:hAnsi="Baskerville" w:cs="Calibri"/>
                <w:sz w:val="20"/>
                <w:szCs w:val="20"/>
              </w:rPr>
              <w:t>out)sider</w:t>
            </w:r>
            <w:proofErr w:type="gramEnd"/>
            <w:r w:rsidRPr="00276574">
              <w:rPr>
                <w:rFonts w:ascii="Baskerville" w:hAnsi="Baskerville" w:cs="Calibri"/>
                <w:sz w:val="20"/>
                <w:szCs w:val="20"/>
              </w:rPr>
              <w:t xml:space="preserve"> by identifying, discussing  and analyzing their own and community’s strengths in relation to</w:t>
            </w:r>
            <w:r w:rsidR="00D240D2">
              <w:rPr>
                <w:rFonts w:ascii="Baskerville" w:hAnsi="Baskerville" w:cs="Calibri"/>
                <w:sz w:val="20"/>
                <w:szCs w:val="20"/>
              </w:rPr>
              <w:t xml:space="preserve"> </w:t>
            </w:r>
            <w:r w:rsidRPr="00276574">
              <w:rPr>
                <w:rFonts w:ascii="Baskerville" w:hAnsi="Baskerville" w:cs="Calibri"/>
                <w:sz w:val="20"/>
                <w:szCs w:val="20"/>
              </w:rPr>
              <w:t>community</w:t>
            </w:r>
            <w:r w:rsidR="00DA32E9">
              <w:rPr>
                <w:rFonts w:ascii="Baskerville" w:hAnsi="Baskerville" w:cs="Calibri"/>
                <w:sz w:val="20"/>
                <w:szCs w:val="20"/>
              </w:rPr>
              <w:t xml:space="preserve"> social dynamics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</w:p>
          <w:p w:rsidR="00276574" w:rsidRPr="00276574" w:rsidRDefault="009F3913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>Makes effective connections with</w:t>
            </w:r>
            <w:r w:rsidR="00276574" w:rsidRPr="00276574">
              <w:rPr>
                <w:rFonts w:ascii="Baskerville" w:hAnsi="Baskerville" w:cs="Calibri"/>
                <w:sz w:val="20"/>
                <w:szCs w:val="20"/>
              </w:rPr>
              <w:t xml:space="preserve"> key models and literature with a clear description of how they have built on their own and community’s strength in the community project</w:t>
            </w:r>
          </w:p>
        </w:tc>
        <w:tc>
          <w:tcPr>
            <w:tcW w:w="2160" w:type="dxa"/>
            <w:tcBorders>
              <w:right w:val="thinThickThinSmallGap" w:sz="12" w:space="0" w:color="000000"/>
            </w:tcBorders>
          </w:tcPr>
          <w:p w:rsidR="00276574" w:rsidRDefault="00276574" w:rsidP="00C638B2">
            <w:pPr>
              <w:pStyle w:val="PlainText"/>
              <w:rPr>
                <w:rFonts w:ascii="Baskerville" w:eastAsiaTheme="minorHAnsi" w:hAnsi="Baskerville" w:cs="AppleSystemUIFontBold"/>
                <w:sz w:val="20"/>
                <w:szCs w:val="20"/>
              </w:rPr>
            </w:pP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Demonstrates strong evidence </w:t>
            </w:r>
            <w:r w:rsidR="006378F0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of 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an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>asset-based perspective of community.</w:t>
            </w:r>
          </w:p>
          <w:p w:rsidR="00C638B2" w:rsidRPr="00276574" w:rsidRDefault="00C638B2" w:rsidP="00C638B2">
            <w:pPr>
              <w:pStyle w:val="PlainText"/>
              <w:rPr>
                <w:rFonts w:ascii="Baskerville" w:eastAsiaTheme="minorHAnsi" w:hAnsi="Baskerville" w:cs="AppleSystemUIFontBold"/>
                <w:sz w:val="20"/>
                <w:szCs w:val="20"/>
              </w:rPr>
            </w:pPr>
          </w:p>
          <w:p w:rsidR="00276574" w:rsidRDefault="00276574" w:rsidP="00C638B2">
            <w:pPr>
              <w:pStyle w:val="PlainText"/>
              <w:rPr>
                <w:rFonts w:ascii="Baskerville" w:eastAsiaTheme="minorHAnsi" w:hAnsi="Baskerville" w:cs="AppleSystemUIFontBold"/>
                <w:sz w:val="20"/>
                <w:szCs w:val="20"/>
              </w:rPr>
            </w:pP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>Identifies “Self” as an (in/</w:t>
            </w:r>
            <w:proofErr w:type="gramStart"/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>out)sider</w:t>
            </w:r>
            <w:proofErr w:type="gramEnd"/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 by 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identifying, discussing, analyzing, and evaluating their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own 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and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community’s strengths 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and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community social </w:t>
            </w:r>
            <w:r w:rsidR="00DA32E9">
              <w:rPr>
                <w:rFonts w:ascii="Baskerville" w:eastAsiaTheme="minorHAnsi" w:hAnsi="Baskerville" w:cs="AppleSystemUIFontBold"/>
                <w:sz w:val="20"/>
                <w:szCs w:val="20"/>
              </w:rPr>
              <w:t>dynamics</w:t>
            </w:r>
          </w:p>
          <w:p w:rsidR="00C638B2" w:rsidRPr="00276574" w:rsidRDefault="00C638B2" w:rsidP="00C638B2">
            <w:pPr>
              <w:pStyle w:val="PlainText"/>
              <w:rPr>
                <w:rFonts w:ascii="Baskerville" w:eastAsiaTheme="minorHAnsi" w:hAnsi="Baskerville" w:cs="AppleSystemUIFont"/>
                <w:sz w:val="20"/>
                <w:szCs w:val="20"/>
              </w:rPr>
            </w:pPr>
          </w:p>
          <w:p w:rsidR="00276574" w:rsidRDefault="00276574" w:rsidP="00C638B2">
            <w:pPr>
              <w:pStyle w:val="PlainText"/>
              <w:rPr>
                <w:rFonts w:ascii="Baskerville" w:eastAsiaTheme="minorHAnsi" w:hAnsi="Baskerville" w:cs="AppleSystemUIFontBold"/>
                <w:sz w:val="20"/>
                <w:szCs w:val="20"/>
              </w:rPr>
            </w:pP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>Make</w:t>
            </w:r>
            <w:r w:rsidR="00052F62">
              <w:rPr>
                <w:rFonts w:ascii="Baskerville" w:eastAsiaTheme="minorHAnsi" w:hAnsi="Baskerville" w:cs="AppleSystemUIFont"/>
                <w:sz w:val="20"/>
                <w:szCs w:val="20"/>
              </w:rPr>
              <w:t>s</w:t>
            </w:r>
            <w:r w:rsidR="009F3913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>effective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>connections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 with the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key models 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and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>literature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 with a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>clear description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 of how </w:t>
            </w:r>
            <w:r w:rsidR="00052F62">
              <w:rPr>
                <w:rFonts w:ascii="Baskerville" w:eastAsiaTheme="minorHAnsi" w:hAnsi="Baskerville" w:cs="AppleSystemUIFont"/>
                <w:sz w:val="20"/>
                <w:szCs w:val="20"/>
              </w:rPr>
              <w:t>he/she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 </w:t>
            </w:r>
            <w:r w:rsidR="00052F62">
              <w:rPr>
                <w:rFonts w:ascii="Baskerville" w:eastAsiaTheme="minorHAnsi" w:hAnsi="Baskerville" w:cs="AppleSystemUIFont"/>
                <w:sz w:val="20"/>
                <w:szCs w:val="20"/>
              </w:rPr>
              <w:t>/they has/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>have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 built on 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>their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 own 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and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community’s strength </w:t>
            </w:r>
            <w:r w:rsidRPr="00276574">
              <w:rPr>
                <w:rFonts w:ascii="Baskerville" w:eastAsiaTheme="minorHAnsi" w:hAnsi="Baskerville" w:cs="AppleSystemUIFont"/>
                <w:sz w:val="20"/>
                <w:szCs w:val="20"/>
              </w:rPr>
              <w:t xml:space="preserve">in </w:t>
            </w:r>
            <w:r w:rsidR="00DA32E9">
              <w:rPr>
                <w:rFonts w:ascii="Baskerville" w:eastAsiaTheme="minorHAnsi" w:hAnsi="Baskerville" w:cs="AppleSystemUIFont"/>
                <w:sz w:val="20"/>
                <w:szCs w:val="20"/>
              </w:rPr>
              <w:t>the</w:t>
            </w:r>
            <w:r w:rsidR="009F3913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 community project </w:t>
            </w:r>
          </w:p>
          <w:p w:rsidR="00C638B2" w:rsidRPr="00276574" w:rsidRDefault="00C638B2" w:rsidP="00C638B2">
            <w:pPr>
              <w:pStyle w:val="PlainText"/>
              <w:rPr>
                <w:rFonts w:ascii="Baskerville" w:eastAsiaTheme="minorHAnsi" w:hAnsi="Baskerville" w:cs="AppleSystemUIFontBold"/>
                <w:sz w:val="20"/>
                <w:szCs w:val="20"/>
              </w:rPr>
            </w:pPr>
          </w:p>
          <w:p w:rsidR="00276574" w:rsidRPr="00276574" w:rsidRDefault="00276574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>Explain</w:t>
            </w:r>
            <w:r w:rsidR="00052F62">
              <w:rPr>
                <w:rFonts w:ascii="Baskerville" w:eastAsiaTheme="minorHAnsi" w:hAnsi="Baskerville" w:cs="AppleSystemUIFontBold"/>
                <w:sz w:val="20"/>
                <w:szCs w:val="20"/>
              </w:rPr>
              <w:t>s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 clearly how t</w:t>
            </w:r>
            <w:r w:rsidR="00052F62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he/she/they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t xml:space="preserve"> will utilize these  strengths to address structural inequities in the </w:t>
            </w:r>
            <w:r w:rsidRPr="00276574">
              <w:rPr>
                <w:rFonts w:ascii="Baskerville" w:eastAsiaTheme="minorHAnsi" w:hAnsi="Baskerville" w:cs="AppleSystemUIFontBold"/>
                <w:sz w:val="20"/>
                <w:szCs w:val="20"/>
              </w:rPr>
              <w:lastRenderedPageBreak/>
              <w:t>community and how it informs their future practices</w:t>
            </w:r>
          </w:p>
        </w:tc>
      </w:tr>
      <w:tr w:rsidR="006310D5" w:rsidTr="00C044EC">
        <w:tc>
          <w:tcPr>
            <w:tcW w:w="2155" w:type="dxa"/>
            <w:tcBorders>
              <w:left w:val="thinThickThinSmallGap" w:sz="12" w:space="0" w:color="000000"/>
              <w:bottom w:val="single" w:sz="4" w:space="0" w:color="auto"/>
            </w:tcBorders>
          </w:tcPr>
          <w:p w:rsidR="00276574" w:rsidRPr="002A594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  <w:u w:val="single"/>
              </w:rPr>
            </w:pPr>
            <w:r w:rsidRPr="002A5944">
              <w:rPr>
                <w:rFonts w:ascii="Baskerville" w:hAnsi="Baskerville" w:cs="Calibri"/>
                <w:b/>
                <w:sz w:val="20"/>
                <w:szCs w:val="20"/>
                <w:u w:val="single"/>
              </w:rPr>
              <w:lastRenderedPageBreak/>
              <w:t xml:space="preserve">Critical Transformative Un/Learning in Community Context </w:t>
            </w:r>
          </w:p>
          <w:p w:rsidR="00276574" w:rsidRPr="0027657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</w:p>
          <w:p w:rsidR="00276574" w:rsidRPr="000D2507" w:rsidRDefault="00276574" w:rsidP="00276574">
            <w:pPr>
              <w:pStyle w:val="PlainText"/>
              <w:rPr>
                <w:rFonts w:ascii="Baskerville" w:hAnsi="Baskerville" w:cs="Calibri"/>
                <w:bCs/>
                <w:i/>
                <w:iCs/>
                <w:sz w:val="20"/>
                <w:szCs w:val="20"/>
              </w:rPr>
            </w:pPr>
            <w:r w:rsidRPr="000D2507">
              <w:rPr>
                <w:rFonts w:ascii="Baskerville" w:hAnsi="Baskerville" w:cs="Calibri"/>
                <w:bCs/>
                <w:i/>
                <w:iCs/>
                <w:sz w:val="20"/>
                <w:szCs w:val="20"/>
              </w:rPr>
              <w:t>Specific Learning Objective(s):</w:t>
            </w:r>
          </w:p>
          <w:p w:rsidR="00276574" w:rsidRPr="0027657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</w:p>
          <w:p w:rsidR="00276574" w:rsidRPr="000D2507" w:rsidRDefault="00276574" w:rsidP="00276574">
            <w:pPr>
              <w:pStyle w:val="PlainText"/>
              <w:rPr>
                <w:rFonts w:ascii="Baskerville" w:hAnsi="Baskerville" w:cs="Calibri"/>
                <w:b/>
                <w:bCs/>
                <w:sz w:val="20"/>
                <w:szCs w:val="20"/>
              </w:rPr>
            </w:pPr>
            <w:r w:rsidRPr="000D2507">
              <w:rPr>
                <w:rFonts w:ascii="Baskerville" w:hAnsi="Baskerville" w:cstheme="minorHAnsi"/>
                <w:b/>
                <w:bCs/>
                <w:sz w:val="20"/>
                <w:szCs w:val="20"/>
              </w:rPr>
              <w:t>Un(learning) through ethical community engagement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76574" w:rsidRPr="0027657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sz w:val="20"/>
                <w:szCs w:val="20"/>
              </w:rPr>
              <w:t>What evidence of un/learning through critical engagement with the community are present in student’s reflection?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76574" w:rsidRPr="00276574" w:rsidRDefault="002A5944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 w:rsidRPr="002A5944">
              <w:rPr>
                <w:rFonts w:ascii="Baskerville" w:hAnsi="Baskerville" w:cs="Calibri"/>
                <w:bCs/>
                <w:sz w:val="20"/>
                <w:szCs w:val="20"/>
              </w:rPr>
              <w:t xml:space="preserve">Presents </w:t>
            </w:r>
            <w:r w:rsidR="00DA32E9">
              <w:rPr>
                <w:rFonts w:ascii="Baskerville" w:hAnsi="Baskerville" w:cs="Calibri"/>
                <w:bCs/>
                <w:sz w:val="20"/>
                <w:szCs w:val="20"/>
              </w:rPr>
              <w:t>n</w:t>
            </w:r>
            <w:r w:rsidR="00276574" w:rsidRPr="002A5944">
              <w:rPr>
                <w:rFonts w:ascii="Baskerville" w:hAnsi="Baskerville" w:cs="Calibri"/>
                <w:bCs/>
                <w:sz w:val="20"/>
                <w:szCs w:val="20"/>
              </w:rPr>
              <w:t>o evidence of actions taken to learn through interactions with the community and peers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276574" w:rsidRDefault="00276574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 w:rsidRPr="002A5944">
              <w:rPr>
                <w:rFonts w:ascii="Baskerville" w:hAnsi="Baskerville" w:cs="Calibri"/>
                <w:bCs/>
                <w:sz w:val="20"/>
                <w:szCs w:val="20"/>
              </w:rPr>
              <w:t>Presents limited arguments that shows learning  through community engagement and advocacy for promoting</w:t>
            </w:r>
            <w:r w:rsidR="00D240D2">
              <w:rPr>
                <w:rFonts w:ascii="Baskerville" w:hAnsi="Baskerville" w:cs="Calibri"/>
                <w:bCs/>
                <w:sz w:val="20"/>
                <w:szCs w:val="20"/>
              </w:rPr>
              <w:t xml:space="preserve"> </w:t>
            </w:r>
            <w:r w:rsidRPr="002A5944">
              <w:rPr>
                <w:rFonts w:ascii="Baskerville" w:hAnsi="Baskerville" w:cs="Calibri"/>
                <w:bCs/>
                <w:sz w:val="20"/>
                <w:szCs w:val="20"/>
              </w:rPr>
              <w:t xml:space="preserve">community wellbeing </w:t>
            </w:r>
          </w:p>
          <w:p w:rsidR="00C638B2" w:rsidRPr="002A5944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276574" w:rsidRPr="002A5944" w:rsidRDefault="00276574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 w:rsidRPr="002A5944">
              <w:rPr>
                <w:rFonts w:ascii="Baskerville" w:hAnsi="Baskerville" w:cs="Calibri"/>
                <w:bCs/>
                <w:sz w:val="20"/>
                <w:szCs w:val="20"/>
              </w:rPr>
              <w:t>Presents no specific evidence of actions</w:t>
            </w:r>
            <w:r w:rsidR="009F3913">
              <w:rPr>
                <w:rFonts w:ascii="Baskerville" w:hAnsi="Baskerville" w:cs="Calibri"/>
                <w:bCs/>
                <w:sz w:val="20"/>
                <w:szCs w:val="20"/>
              </w:rPr>
              <w:t xml:space="preserve"> and contexts that were </w:t>
            </w:r>
            <w:r w:rsidRPr="002A5944">
              <w:rPr>
                <w:rFonts w:ascii="Baskerville" w:hAnsi="Baskerville" w:cs="Calibri"/>
                <w:bCs/>
                <w:sz w:val="20"/>
                <w:szCs w:val="20"/>
              </w:rPr>
              <w:t>transformative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F3913" w:rsidRDefault="009F3913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 xml:space="preserve">Presents evidence of </w:t>
            </w:r>
            <w:r w:rsidR="00276574" w:rsidRPr="002A5944">
              <w:rPr>
                <w:rFonts w:ascii="Baskerville" w:hAnsi="Baskerville" w:cs="Calibri"/>
                <w:sz w:val="20"/>
                <w:szCs w:val="20"/>
              </w:rPr>
              <w:t>learning through community engagement and advocacy for promoting community wellbeing with details of specific actions and contex</w:t>
            </w:r>
            <w:r>
              <w:rPr>
                <w:rFonts w:ascii="Baskerville" w:hAnsi="Baskerville" w:cs="Calibri"/>
                <w:sz w:val="20"/>
                <w:szCs w:val="20"/>
              </w:rPr>
              <w:t>ts that were transformative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</w:p>
          <w:p w:rsidR="00276574" w:rsidRPr="002A5944" w:rsidRDefault="009F3913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>C</w:t>
            </w:r>
            <w:r w:rsidR="00276574" w:rsidRPr="002A5944">
              <w:rPr>
                <w:rFonts w:ascii="Baskerville" w:hAnsi="Baskerville" w:cs="Calibri"/>
                <w:sz w:val="20"/>
                <w:szCs w:val="20"/>
              </w:rPr>
              <w:t>lear articulation of how it informed their engagement with the course and the community</w:t>
            </w:r>
          </w:p>
        </w:tc>
        <w:tc>
          <w:tcPr>
            <w:tcW w:w="2160" w:type="dxa"/>
            <w:tcBorders>
              <w:bottom w:val="single" w:sz="4" w:space="0" w:color="auto"/>
              <w:right w:val="thinThickThinSmallGap" w:sz="12" w:space="0" w:color="000000"/>
            </w:tcBorders>
          </w:tcPr>
          <w:p w:rsidR="00276574" w:rsidRDefault="00276574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 w:rsidRPr="00D72D8A">
              <w:rPr>
                <w:rFonts w:ascii="Baskerville" w:hAnsi="Baskerville" w:cs="Calibri"/>
                <w:sz w:val="20"/>
                <w:szCs w:val="20"/>
              </w:rPr>
              <w:t xml:space="preserve">Presents strong evidence of learning through community engagement and advocacy for promoting </w:t>
            </w:r>
            <w:r w:rsidR="006310D5">
              <w:rPr>
                <w:rFonts w:ascii="Baskerville" w:hAnsi="Baskerville" w:cs="Calibri"/>
                <w:sz w:val="20"/>
                <w:szCs w:val="20"/>
              </w:rPr>
              <w:t>wellbeing</w:t>
            </w:r>
          </w:p>
          <w:p w:rsidR="00C638B2" w:rsidRPr="00D72D8A" w:rsidRDefault="00C638B2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</w:p>
          <w:p w:rsidR="00276574" w:rsidRPr="00D72D8A" w:rsidRDefault="00B9126C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>G</w:t>
            </w:r>
            <w:r w:rsidR="009B2F1A">
              <w:rPr>
                <w:rFonts w:ascii="Baskerville" w:hAnsi="Baskerville" w:cs="Calibri"/>
                <w:sz w:val="20"/>
                <w:szCs w:val="20"/>
              </w:rPr>
              <w:t xml:space="preserve">ives </w:t>
            </w:r>
            <w:r w:rsidR="00276574" w:rsidRPr="00D72D8A">
              <w:rPr>
                <w:rFonts w:ascii="Baskerville" w:hAnsi="Baskerville" w:cs="Calibri"/>
                <w:sz w:val="20"/>
                <w:szCs w:val="20"/>
              </w:rPr>
              <w:t xml:space="preserve">details of  specific actions and </w:t>
            </w:r>
            <w:r w:rsidR="009B2F1A">
              <w:rPr>
                <w:rFonts w:ascii="Baskerville" w:hAnsi="Baskerville" w:cs="Calibri"/>
                <w:sz w:val="20"/>
                <w:szCs w:val="20"/>
              </w:rPr>
              <w:t xml:space="preserve">contexts that were transformative </w:t>
            </w:r>
          </w:p>
          <w:p w:rsidR="00C638B2" w:rsidRDefault="00C638B2" w:rsidP="00C638B2">
            <w:pPr>
              <w:pStyle w:val="PlainText"/>
              <w:ind w:left="720"/>
              <w:rPr>
                <w:rFonts w:ascii="Baskerville" w:hAnsi="Baskerville" w:cs="Calibri"/>
                <w:sz w:val="20"/>
                <w:szCs w:val="20"/>
              </w:rPr>
            </w:pPr>
          </w:p>
          <w:p w:rsidR="00276574" w:rsidRPr="00B9126C" w:rsidRDefault="009B2F1A" w:rsidP="00C638B2">
            <w:pPr>
              <w:pStyle w:val="PlainText"/>
              <w:rPr>
                <w:rFonts w:ascii="Baskerville" w:hAnsi="Baskerville" w:cs="Calibri"/>
                <w:sz w:val="20"/>
                <w:szCs w:val="20"/>
              </w:rPr>
            </w:pPr>
            <w:r>
              <w:rPr>
                <w:rFonts w:ascii="Baskerville" w:hAnsi="Baskerville" w:cs="Calibri"/>
                <w:sz w:val="20"/>
                <w:szCs w:val="20"/>
              </w:rPr>
              <w:t>C</w:t>
            </w:r>
            <w:r w:rsidR="00276574" w:rsidRPr="00D72D8A">
              <w:rPr>
                <w:rFonts w:ascii="Baskerville" w:hAnsi="Baskerville" w:cs="Calibri"/>
                <w:sz w:val="20"/>
                <w:szCs w:val="20"/>
              </w:rPr>
              <w:t>lear articulation of how it informed their engagement with the course and the community. demonstrate clear understanding of “Self” as a practitioner”</w:t>
            </w:r>
          </w:p>
        </w:tc>
      </w:tr>
      <w:tr w:rsidR="006310D5" w:rsidTr="00C044EC">
        <w:tc>
          <w:tcPr>
            <w:tcW w:w="2155" w:type="dxa"/>
            <w:tcBorders>
              <w:left w:val="thinThickThinSmallGap" w:sz="12" w:space="0" w:color="000000"/>
              <w:bottom w:val="single" w:sz="4" w:space="0" w:color="auto"/>
            </w:tcBorders>
          </w:tcPr>
          <w:p w:rsidR="00276574" w:rsidRPr="000D2507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  <w:u w:val="single"/>
              </w:rPr>
            </w:pPr>
            <w:r w:rsidRPr="000D2507">
              <w:rPr>
                <w:rFonts w:ascii="Baskerville" w:hAnsi="Baskerville" w:cs="Calibri"/>
                <w:b/>
                <w:sz w:val="20"/>
                <w:szCs w:val="20"/>
                <w:u w:val="single"/>
              </w:rPr>
              <w:t>Communication</w:t>
            </w:r>
          </w:p>
          <w:p w:rsidR="00276574" w:rsidRPr="0027657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</w:p>
          <w:p w:rsidR="00276574" w:rsidRPr="000D2507" w:rsidRDefault="00276574" w:rsidP="00276574">
            <w:pPr>
              <w:pStyle w:val="PlainText"/>
              <w:rPr>
                <w:rFonts w:ascii="Baskerville" w:hAnsi="Baskerville" w:cs="Calibri"/>
                <w:bCs/>
                <w:i/>
                <w:iCs/>
                <w:sz w:val="20"/>
                <w:szCs w:val="20"/>
              </w:rPr>
            </w:pPr>
            <w:r w:rsidRPr="000D2507">
              <w:rPr>
                <w:rFonts w:ascii="Baskerville" w:hAnsi="Baskerville" w:cs="Calibri"/>
                <w:bCs/>
                <w:i/>
                <w:iCs/>
                <w:sz w:val="20"/>
                <w:szCs w:val="20"/>
              </w:rPr>
              <w:t xml:space="preserve">Specific Learning Objective(s): </w:t>
            </w:r>
          </w:p>
          <w:p w:rsidR="00276574" w:rsidRPr="0027657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</w:p>
          <w:p w:rsidR="00276574" w:rsidRPr="000D2507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0D2507">
              <w:rPr>
                <w:rFonts w:ascii="Baskerville" w:hAnsi="Baskerville" w:cs="Calibri"/>
                <w:b/>
                <w:sz w:val="20"/>
                <w:szCs w:val="20"/>
              </w:rPr>
              <w:t>Writing, presentation style and inclusion of resources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276574" w:rsidRPr="00276574" w:rsidRDefault="00276574" w:rsidP="00276574">
            <w:pPr>
              <w:pStyle w:val="PlainText"/>
              <w:rPr>
                <w:rFonts w:ascii="Baskerville" w:hAnsi="Baskerville" w:cs="Calibri"/>
                <w:b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sz w:val="20"/>
                <w:szCs w:val="20"/>
              </w:rPr>
              <w:t>In</w:t>
            </w:r>
            <w:r w:rsidRPr="00276574">
              <w:rPr>
                <w:rFonts w:ascii="Baskerville" w:hAnsi="Baskerville" w:cs="Calibri"/>
                <w:b/>
                <w:sz w:val="20"/>
                <w:szCs w:val="20"/>
              </w:rPr>
              <w:t xml:space="preserve"> </w:t>
            </w:r>
            <w:r w:rsidRPr="00276574">
              <w:rPr>
                <w:rFonts w:ascii="Baskerville" w:hAnsi="Baskerville" w:cs="Calibri"/>
                <w:sz w:val="20"/>
                <w:szCs w:val="20"/>
              </w:rPr>
              <w:t>what ways students present their learning through community engagement? What type of evidence and resources are referenced to share and learn through their engagement with the community structural issues?</w:t>
            </w:r>
          </w:p>
        </w:tc>
        <w:tc>
          <w:tcPr>
            <w:tcW w:w="2155" w:type="dxa"/>
            <w:tcBorders>
              <w:bottom w:val="single" w:sz="4" w:space="0" w:color="auto"/>
            </w:tcBorders>
          </w:tcPr>
          <w:p w:rsidR="009B2F1A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 xml:space="preserve">Unclear Language &amp; structures, 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difficult to understand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276574" w:rsidRPr="00276574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>M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any spel</w:t>
            </w:r>
            <w:r>
              <w:rPr>
                <w:rFonts w:ascii="Baskerville" w:hAnsi="Baskerville" w:cs="Calibri"/>
                <w:bCs/>
                <w:sz w:val="20"/>
                <w:szCs w:val="20"/>
              </w:rPr>
              <w:t>ling and/or grammatical errors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9B2F1A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>Does n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ot follow formatting g</w:t>
            </w:r>
            <w:r>
              <w:rPr>
                <w:rFonts w:ascii="Baskerville" w:hAnsi="Baskerville" w:cs="Calibri"/>
                <w:bCs/>
                <w:sz w:val="20"/>
                <w:szCs w:val="20"/>
              </w:rPr>
              <w:t>uidelines and reference style</w:t>
            </w:r>
          </w:p>
          <w:p w:rsidR="00276574" w:rsidRDefault="00276574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bCs/>
                <w:sz w:val="20"/>
                <w:szCs w:val="20"/>
              </w:rPr>
              <w:t>Limited use of the appropriate literature and community resources</w:t>
            </w:r>
          </w:p>
          <w:p w:rsidR="00C638B2" w:rsidRPr="00276574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276574" w:rsidRPr="00276574" w:rsidRDefault="00276574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bCs/>
                <w:sz w:val="20"/>
                <w:szCs w:val="20"/>
              </w:rPr>
              <w:lastRenderedPageBreak/>
              <w:t xml:space="preserve">Gives </w:t>
            </w:r>
            <w:r w:rsidR="00DA32E9">
              <w:rPr>
                <w:rFonts w:ascii="Baskerville" w:hAnsi="Baskerville" w:cs="Calibri"/>
                <w:bCs/>
                <w:sz w:val="20"/>
                <w:szCs w:val="20"/>
              </w:rPr>
              <w:t>p</w:t>
            </w:r>
            <w:r w:rsidRPr="00276574">
              <w:rPr>
                <w:rFonts w:ascii="Baskerville" w:hAnsi="Baskerville" w:cs="Calibri"/>
                <w:bCs/>
                <w:sz w:val="20"/>
                <w:szCs w:val="20"/>
              </w:rPr>
              <w:t xml:space="preserve">artial response to reflection prompts. </w:t>
            </w:r>
          </w:p>
        </w:tc>
        <w:tc>
          <w:tcPr>
            <w:tcW w:w="2156" w:type="dxa"/>
            <w:tcBorders>
              <w:bottom w:val="single" w:sz="4" w:space="0" w:color="auto"/>
            </w:tcBorders>
          </w:tcPr>
          <w:p w:rsidR="00276574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lastRenderedPageBreak/>
              <w:t>C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lear Language</w:t>
            </w:r>
            <w:bookmarkStart w:id="0" w:name="_GoBack"/>
            <w:bookmarkEnd w:id="0"/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,</w:t>
            </w:r>
            <w:r w:rsidR="00DA32E9">
              <w:rPr>
                <w:rFonts w:ascii="Baskerville" w:hAnsi="Baskerville" w:cs="Calibri"/>
                <w:bCs/>
                <w:sz w:val="20"/>
                <w:szCs w:val="20"/>
              </w:rPr>
              <w:t xml:space="preserve"> 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but shows limited organization and presentation skills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9B2F1A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>M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 xml:space="preserve">inor errors in spelling, grammar, formatting guidelines and reference style. </w:t>
            </w:r>
          </w:p>
          <w:p w:rsidR="00276574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>N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 xml:space="preserve">o explicit evidence of actions and Individual inclusion of key points from appropriate literature and community resources. </w:t>
            </w:r>
          </w:p>
          <w:p w:rsidR="00276574" w:rsidRPr="00276574" w:rsidRDefault="00276574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bCs/>
                <w:sz w:val="20"/>
                <w:szCs w:val="20"/>
              </w:rPr>
              <w:lastRenderedPageBreak/>
              <w:t>Responds to all reflection prompts with no critical analysis of the context/situation of what was transformative for their “un/learning” and w</w:t>
            </w:r>
            <w:r w:rsidR="009F3913">
              <w:rPr>
                <w:rFonts w:ascii="Baskerville" w:hAnsi="Baskerville" w:cs="Calibri"/>
                <w:bCs/>
                <w:sz w:val="20"/>
                <w:szCs w:val="20"/>
              </w:rPr>
              <w:t xml:space="preserve">hy? </w:t>
            </w:r>
          </w:p>
        </w:tc>
        <w:tc>
          <w:tcPr>
            <w:tcW w:w="2169" w:type="dxa"/>
            <w:tcBorders>
              <w:bottom w:val="single" w:sz="4" w:space="0" w:color="auto"/>
            </w:tcBorders>
          </w:tcPr>
          <w:p w:rsidR="009B2F1A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lastRenderedPageBreak/>
              <w:t>C</w:t>
            </w:r>
            <w:r w:rsidR="00C638B2">
              <w:rPr>
                <w:rFonts w:ascii="Baskerville" w:hAnsi="Baskerville" w:cs="Calibri"/>
                <w:bCs/>
                <w:sz w:val="20"/>
                <w:szCs w:val="20"/>
              </w:rPr>
              <w:t xml:space="preserve">oherent Language with 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minor spe</w:t>
            </w:r>
            <w:r>
              <w:rPr>
                <w:rFonts w:ascii="Baskerville" w:hAnsi="Baskerville" w:cs="Calibri"/>
                <w:bCs/>
                <w:sz w:val="20"/>
                <w:szCs w:val="20"/>
              </w:rPr>
              <w:t>lling and grammatical errors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9B2F1A" w:rsidRDefault="00276574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bCs/>
                <w:sz w:val="20"/>
                <w:szCs w:val="20"/>
              </w:rPr>
              <w:t>Good use of formatting g</w:t>
            </w:r>
            <w:r w:rsidR="009B2F1A">
              <w:rPr>
                <w:rFonts w:ascii="Baskerville" w:hAnsi="Baskerville" w:cs="Calibri"/>
                <w:bCs/>
                <w:sz w:val="20"/>
                <w:szCs w:val="20"/>
              </w:rPr>
              <w:t>uidelines and reference style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276574" w:rsidRPr="00276574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 xml:space="preserve"> Clear inclusion of the 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appropriate and relevant lite</w:t>
            </w:r>
            <w:r>
              <w:rPr>
                <w:rFonts w:ascii="Baskerville" w:hAnsi="Baskerville" w:cs="Calibri"/>
                <w:bCs/>
                <w:sz w:val="20"/>
                <w:szCs w:val="20"/>
              </w:rPr>
              <w:t>rature and community resources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276574" w:rsidRPr="00276574" w:rsidRDefault="00B9126C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lastRenderedPageBreak/>
              <w:t>R</w:t>
            </w:r>
            <w:r w:rsidR="009B2F1A">
              <w:rPr>
                <w:rFonts w:ascii="Baskerville" w:hAnsi="Baskerville" w:cs="Calibri"/>
                <w:bCs/>
                <w:sz w:val="20"/>
                <w:szCs w:val="20"/>
              </w:rPr>
              <w:t>esponds c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ritically to all prompts of reflection with specific analysis of the context/situation of what was transformative for their “un/learning” and why?</w:t>
            </w:r>
          </w:p>
        </w:tc>
        <w:tc>
          <w:tcPr>
            <w:tcW w:w="2160" w:type="dxa"/>
            <w:tcBorders>
              <w:bottom w:val="single" w:sz="4" w:space="0" w:color="auto"/>
              <w:right w:val="thinThickThinSmallGap" w:sz="12" w:space="0" w:color="000000"/>
            </w:tcBorders>
          </w:tcPr>
          <w:p w:rsidR="009B2F1A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lastRenderedPageBreak/>
              <w:t>P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ersua</w:t>
            </w:r>
            <w:r>
              <w:rPr>
                <w:rFonts w:ascii="Baskerville" w:hAnsi="Baskerville" w:cs="Calibri"/>
                <w:bCs/>
                <w:sz w:val="20"/>
                <w:szCs w:val="20"/>
              </w:rPr>
              <w:t xml:space="preserve">sive and exemplary Language 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9B2F1A" w:rsidRDefault="009B2F1A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>N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 xml:space="preserve">o </w:t>
            </w:r>
            <w:r>
              <w:rPr>
                <w:rFonts w:ascii="Baskerville" w:hAnsi="Baskerville" w:cs="Calibri"/>
                <w:bCs/>
                <w:sz w:val="20"/>
                <w:szCs w:val="20"/>
              </w:rPr>
              <w:t>spelling and grammatical errors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9B2F1A" w:rsidRDefault="00276574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 w:rsidRPr="00276574">
              <w:rPr>
                <w:rFonts w:ascii="Baskerville" w:hAnsi="Baskerville" w:cs="Calibri"/>
                <w:bCs/>
                <w:sz w:val="20"/>
                <w:szCs w:val="20"/>
              </w:rPr>
              <w:t>Mastery of formatting gu</w:t>
            </w:r>
            <w:r w:rsidR="009B2F1A">
              <w:rPr>
                <w:rFonts w:ascii="Baskerville" w:hAnsi="Baskerville" w:cs="Calibri"/>
                <w:bCs/>
                <w:sz w:val="20"/>
                <w:szCs w:val="20"/>
              </w:rPr>
              <w:t>idelines and reference style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276574" w:rsidRPr="00276574" w:rsidRDefault="006310D5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>S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 xml:space="preserve">trong critical analysis, synthesis and interpretation of “un/learning” that happened with 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lastRenderedPageBreak/>
              <w:t xml:space="preserve">analysis of the context/situation of what was transformative for their “un/learning” and why 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276574" w:rsidRPr="00276574" w:rsidRDefault="006310D5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>R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elevant literature and community resources woven with clear evidence of an asset-based understanding of community</w:t>
            </w:r>
          </w:p>
          <w:p w:rsidR="00C638B2" w:rsidRDefault="00C638B2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</w:p>
          <w:p w:rsidR="00276574" w:rsidRPr="00276574" w:rsidRDefault="00B9126C" w:rsidP="00C638B2">
            <w:pPr>
              <w:pStyle w:val="PlainText"/>
              <w:rPr>
                <w:rFonts w:ascii="Baskerville" w:hAnsi="Baskerville" w:cs="Calibri"/>
                <w:bCs/>
                <w:sz w:val="20"/>
                <w:szCs w:val="20"/>
              </w:rPr>
            </w:pPr>
            <w:r>
              <w:rPr>
                <w:rFonts w:ascii="Baskerville" w:hAnsi="Baskerville" w:cs="Calibri"/>
                <w:bCs/>
                <w:sz w:val="20"/>
                <w:szCs w:val="20"/>
              </w:rPr>
              <w:t>R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esponds Critically</w:t>
            </w:r>
            <w:r w:rsidR="00D72D8A">
              <w:rPr>
                <w:rFonts w:ascii="Baskerville" w:hAnsi="Baskerville" w:cs="Calibri"/>
                <w:bCs/>
                <w:sz w:val="20"/>
                <w:szCs w:val="20"/>
              </w:rPr>
              <w:t xml:space="preserve"> </w:t>
            </w:r>
            <w:r w:rsidR="00276574" w:rsidRPr="00276574">
              <w:rPr>
                <w:rFonts w:ascii="Baskerville" w:hAnsi="Baskerville" w:cs="Calibri"/>
                <w:bCs/>
                <w:sz w:val="20"/>
                <w:szCs w:val="20"/>
              </w:rPr>
              <w:t>to all prompts effectively in a manner that reflects student’s culturally appropriate ethical engagement with the community</w:t>
            </w:r>
          </w:p>
        </w:tc>
      </w:tr>
    </w:tbl>
    <w:p w:rsidR="00E81953" w:rsidRPr="00276574" w:rsidRDefault="00E81953">
      <w:pPr>
        <w:rPr>
          <w:rFonts w:ascii="Baskerville" w:hAnsi="Baskerville"/>
          <w:szCs w:val="22"/>
        </w:rPr>
      </w:pPr>
    </w:p>
    <w:sectPr w:rsidR="00E81953" w:rsidRPr="00276574" w:rsidSect="00276574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5840" w:h="12240" w:orient="landscape"/>
      <w:pgMar w:top="1440" w:right="1440" w:bottom="1440" w:left="1440" w:header="708" w:footer="708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B079F1" w:rsidRDefault="00B079F1" w:rsidP="000D2507">
      <w:r>
        <w:separator/>
      </w:r>
    </w:p>
  </w:endnote>
  <w:endnote w:type="continuationSeparator" w:id="0">
    <w:p w:rsidR="00B079F1" w:rsidRDefault="00B079F1" w:rsidP="000D25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Baskerville">
    <w:altName w:val="Cambria Math"/>
    <w:charset w:val="00"/>
    <w:family w:val="roman"/>
    <w:pitch w:val="variable"/>
    <w:sig w:usb0="00000001" w:usb1="02000000" w:usb2="00000000" w:usb3="00000000" w:csb0="0000019F" w:csb1="00000000"/>
  </w:font>
  <w:font w:name="AppleSystemUIFont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ppleSystemUIFontBold">
    <w:altName w:val="Calibri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1050571712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6CBD" w:rsidRDefault="000C6CBD" w:rsidP="00674C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end"/>
        </w:r>
      </w:p>
    </w:sdtContent>
  </w:sdt>
  <w:p w:rsidR="000D2507" w:rsidRDefault="000D250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Style w:val="PageNumber"/>
      </w:rPr>
      <w:id w:val="-686132707"/>
      <w:docPartObj>
        <w:docPartGallery w:val="Page Numbers (Bottom of Page)"/>
        <w:docPartUnique/>
      </w:docPartObj>
    </w:sdtPr>
    <w:sdtEndPr>
      <w:rPr>
        <w:rStyle w:val="PageNumber"/>
      </w:rPr>
    </w:sdtEndPr>
    <w:sdtContent>
      <w:p w:rsidR="000C6CBD" w:rsidRDefault="000C6CBD" w:rsidP="00674C01">
        <w:pPr>
          <w:pStyle w:val="Footer"/>
          <w:framePr w:wrap="none" w:vAnchor="text" w:hAnchor="margin" w:xAlign="center" w:y="1"/>
          <w:rPr>
            <w:rStyle w:val="PageNumber"/>
          </w:rPr>
        </w:pPr>
        <w:r>
          <w:rPr>
            <w:rStyle w:val="PageNumber"/>
          </w:rPr>
          <w:fldChar w:fldCharType="begin"/>
        </w:r>
        <w:r>
          <w:rPr>
            <w:rStyle w:val="PageNumber"/>
          </w:rPr>
          <w:instrText xml:space="preserve"> PAGE </w:instrText>
        </w:r>
        <w:r>
          <w:rPr>
            <w:rStyle w:val="PageNumber"/>
          </w:rPr>
          <w:fldChar w:fldCharType="separate"/>
        </w:r>
        <w:r w:rsidR="00EA6E24">
          <w:rPr>
            <w:rStyle w:val="PageNumber"/>
            <w:noProof/>
          </w:rPr>
          <w:t>1</w:t>
        </w:r>
        <w:r>
          <w:rPr>
            <w:rStyle w:val="PageNumber"/>
          </w:rPr>
          <w:fldChar w:fldCharType="end"/>
        </w:r>
      </w:p>
    </w:sdtContent>
  </w:sdt>
  <w:p w:rsidR="000D2507" w:rsidRDefault="000D2507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07" w:rsidRDefault="000D250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B079F1" w:rsidRDefault="00B079F1" w:rsidP="000D2507">
      <w:r>
        <w:separator/>
      </w:r>
    </w:p>
  </w:footnote>
  <w:footnote w:type="continuationSeparator" w:id="0">
    <w:p w:rsidR="00B079F1" w:rsidRDefault="00B079F1" w:rsidP="000D250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07" w:rsidRDefault="000D250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07" w:rsidRDefault="000D2507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D2507" w:rsidRDefault="000D250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F56A85"/>
    <w:multiLevelType w:val="hybridMultilevel"/>
    <w:tmpl w:val="95D0BB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3A26B3"/>
    <w:multiLevelType w:val="hybridMultilevel"/>
    <w:tmpl w:val="A49EAD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2A730E"/>
    <w:multiLevelType w:val="hybridMultilevel"/>
    <w:tmpl w:val="693C96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FB05451"/>
    <w:multiLevelType w:val="hybridMultilevel"/>
    <w:tmpl w:val="67E658B0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E5D2F8E"/>
    <w:multiLevelType w:val="hybridMultilevel"/>
    <w:tmpl w:val="8C72735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A3F2631"/>
    <w:multiLevelType w:val="hybridMultilevel"/>
    <w:tmpl w:val="C312FF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C37E57"/>
    <w:multiLevelType w:val="hybridMultilevel"/>
    <w:tmpl w:val="628C1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CDE4621"/>
    <w:multiLevelType w:val="hybridMultilevel"/>
    <w:tmpl w:val="532C2F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6C376AB"/>
    <w:multiLevelType w:val="hybridMultilevel"/>
    <w:tmpl w:val="A5482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8"/>
  </w:num>
  <w:num w:numId="5">
    <w:abstractNumId w:val="3"/>
  </w:num>
  <w:num w:numId="6">
    <w:abstractNumId w:val="5"/>
  </w:num>
  <w:num w:numId="7">
    <w:abstractNumId w:val="6"/>
  </w:num>
  <w:num w:numId="8">
    <w:abstractNumId w:val="1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76574"/>
    <w:rsid w:val="00052F62"/>
    <w:rsid w:val="000C6CBD"/>
    <w:rsid w:val="000D2507"/>
    <w:rsid w:val="000F0C87"/>
    <w:rsid w:val="00115807"/>
    <w:rsid w:val="002075CE"/>
    <w:rsid w:val="00276574"/>
    <w:rsid w:val="00286959"/>
    <w:rsid w:val="002A5944"/>
    <w:rsid w:val="002B79A9"/>
    <w:rsid w:val="00352216"/>
    <w:rsid w:val="003A5105"/>
    <w:rsid w:val="004F4673"/>
    <w:rsid w:val="00596B13"/>
    <w:rsid w:val="006310D5"/>
    <w:rsid w:val="006378F0"/>
    <w:rsid w:val="00765AB2"/>
    <w:rsid w:val="007B20BB"/>
    <w:rsid w:val="007E7F1C"/>
    <w:rsid w:val="009B2F1A"/>
    <w:rsid w:val="009F3913"/>
    <w:rsid w:val="00A407F5"/>
    <w:rsid w:val="00AC44E5"/>
    <w:rsid w:val="00B079F1"/>
    <w:rsid w:val="00B9126C"/>
    <w:rsid w:val="00C044EC"/>
    <w:rsid w:val="00C638B2"/>
    <w:rsid w:val="00D240D2"/>
    <w:rsid w:val="00D72D8A"/>
    <w:rsid w:val="00D91805"/>
    <w:rsid w:val="00D93F4E"/>
    <w:rsid w:val="00DA32E9"/>
    <w:rsid w:val="00DE1901"/>
    <w:rsid w:val="00DE672C"/>
    <w:rsid w:val="00E00B97"/>
    <w:rsid w:val="00E81953"/>
    <w:rsid w:val="00EA6E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3F25EE2"/>
  <w15:chartTrackingRefBased/>
  <w15:docId w15:val="{39D2733D-651C-C54F-8093-81C2043B8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ajorBidi" w:eastAsiaTheme="minorHAnsi" w:hAnsiTheme="majorBidi" w:cstheme="maj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276574"/>
    <w:rPr>
      <w:rFonts w:ascii="Arial" w:eastAsia="Times New Roman" w:hAnsi="Arial" w:cs="Times New Roman"/>
      <w:sz w:val="22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7657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link w:val="PlainTextChar"/>
    <w:uiPriority w:val="99"/>
    <w:unhideWhenUsed/>
    <w:rsid w:val="00276574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basedOn w:val="DefaultParagraphFont"/>
    <w:link w:val="PlainText"/>
    <w:uiPriority w:val="99"/>
    <w:rsid w:val="00276574"/>
    <w:rPr>
      <w:rFonts w:ascii="Consolas" w:eastAsia="Calibri" w:hAnsi="Consolas" w:cs="Times New Roman"/>
      <w:sz w:val="21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27657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76574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76574"/>
    <w:rPr>
      <w:rFonts w:ascii="Arial" w:eastAsia="Times New Roman" w:hAnsi="Arial" w:cs="Times New Roman"/>
      <w:sz w:val="20"/>
      <w:szCs w:val="20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6574"/>
    <w:rPr>
      <w:rFonts w:ascii="Times New Roman" w:hAnsi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6574"/>
    <w:rPr>
      <w:rFonts w:ascii="Times New Roman" w:eastAsia="Times New Roman" w:hAnsi="Times New Roman" w:cs="Times New Roman"/>
      <w:sz w:val="18"/>
      <w:szCs w:val="18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0D250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2507"/>
    <w:rPr>
      <w:rFonts w:ascii="Arial" w:eastAsia="Times New Roman" w:hAnsi="Arial" w:cs="Times New Roman"/>
      <w:sz w:val="22"/>
      <w:szCs w:val="20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0D250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2507"/>
    <w:rPr>
      <w:rFonts w:ascii="Arial" w:eastAsia="Times New Roman" w:hAnsi="Arial" w:cs="Times New Roman"/>
      <w:sz w:val="22"/>
      <w:szCs w:val="20"/>
      <w:lang w:val="en-US"/>
    </w:rPr>
  </w:style>
  <w:style w:type="character" w:styleId="PageNumber">
    <w:name w:val="page number"/>
    <w:basedOn w:val="DefaultParagraphFont"/>
    <w:uiPriority w:val="99"/>
    <w:semiHidden/>
    <w:unhideWhenUsed/>
    <w:rsid w:val="000C6C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3</Pages>
  <Words>726</Words>
  <Characters>4142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Neila Miled</dc:creator>
  <cp:keywords/>
  <dc:description/>
  <cp:lastModifiedBy>Nelson, Kyle</cp:lastModifiedBy>
  <cp:revision>21</cp:revision>
  <dcterms:created xsi:type="dcterms:W3CDTF">2019-07-16T02:49:00Z</dcterms:created>
  <dcterms:modified xsi:type="dcterms:W3CDTF">2020-09-04T17:12:00Z</dcterms:modified>
</cp:coreProperties>
</file>